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1" w:name="_GoBack"/>
      <w:bookmarkEnd w:id="1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目录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6384"/>
        <w15:color w:val="DBDBDB"/>
        <w:docPartObj>
          <w:docPartGallery w:val="Table of Contents"/>
          <w:docPartUnique/>
        </w:docPartObj>
      </w:sdtPr>
      <w:sdtEndP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44"/>
          <w:lang w:val="en-US" w:eastAsia="zh-CN" w:bidi="ar"/>
        </w:rPr>
      </w:sdtEndPr>
      <w:sdtContent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400" w:lineRule="exact"/>
            <w:ind w:left="0" w:leftChars="0" w:right="0" w:rightChars="0" w:firstLine="0" w:firstLineChars="0"/>
            <w:jc w:val="left"/>
            <w:textAlignment w:val="auto"/>
            <w:rPr>
              <w:rFonts w:hint="default" w:eastAsia="宋体"/>
              <w:b/>
              <w:bCs/>
              <w:sz w:val="28"/>
              <w:szCs w:val="28"/>
              <w:lang w:val="en-US" w:eastAsia="zh-CN"/>
            </w:rPr>
          </w:pPr>
          <w:r>
            <w:rPr>
              <w:rFonts w:hint="eastAsia"/>
              <w:b/>
              <w:bCs/>
              <w:sz w:val="28"/>
              <w:szCs w:val="28"/>
              <w:lang w:val="en-US" w:eastAsia="zh-CN"/>
            </w:rPr>
            <w:t>第一部分 论文获奖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jc w:val="left"/>
            <w:textAlignment w:val="auto"/>
            <w:rPr>
              <w:rFonts w:hint="eastAsia" w:ascii="Times New Roman" w:hAnsi="Times New Roman" w:eastAsia="宋体"/>
              <w:sz w:val="24"/>
              <w:szCs w:val="24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01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黄榦与南宋福州书院文化教育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方彦寿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1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02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算子矩阵Kato-Weyl谱的摄动性质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吴珍莺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12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03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关于高职会计实践教学中存在的问题和对策探讨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方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秀华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20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04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数学建模与高职高专数学教学改革的探讨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万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丙晟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25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05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“软硬兼施”——高职院校计算机应用基础课程教学改革研究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张璜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30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06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高职院校通信专业就业导向课程开发研究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郑劲松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36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07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从方法论上把握“七个怎么看”与思政课的融合之道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叶灵珍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42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zCs w:val="24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08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公允价值计量在我国上市银行中的运用分析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吴 市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49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zCs w:val="24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09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追求“模因”的力量---模因论关照下的高职专门用途英语（ESP）教学实践探索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黄丽奇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56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Times New Roman"/>
              <w:b/>
              <w:bCs/>
              <w:sz w:val="28"/>
              <w:szCs w:val="28"/>
              <w:lang w:val="en-US" w:eastAsia="zh-CN"/>
            </w:rPr>
          </w:pPr>
          <w:r>
            <w:rPr>
              <w:rFonts w:hint="eastAsia" w:ascii="Times New Roman" w:hAnsi="Times New Roman" w:eastAsia="宋体" w:cs="Times New Roman"/>
              <w:b/>
              <w:bCs/>
              <w:sz w:val="28"/>
              <w:szCs w:val="28"/>
              <w:lang w:val="en-US" w:eastAsia="zh-CN"/>
            </w:rPr>
            <w:t>第二部分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 w:cs="Times New Roman"/>
              <w:b/>
              <w:bCs/>
              <w:sz w:val="28"/>
              <w:szCs w:val="28"/>
              <w:lang w:val="en-US" w:eastAsia="zh-CN"/>
            </w:rPr>
          </w:pPr>
          <w:r>
            <w:rPr>
              <w:rFonts w:hint="eastAsia" w:ascii="Times New Roman" w:hAnsi="Times New Roman" w:eastAsia="宋体" w:cs="Times New Roman"/>
              <w:b/>
              <w:bCs/>
              <w:sz w:val="28"/>
              <w:szCs w:val="28"/>
              <w:lang w:val="en-US" w:eastAsia="zh-CN"/>
            </w:rPr>
            <w:t>一、教育教学改革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/>
              <w:sz w:val="24"/>
              <w:szCs w:val="24"/>
              <w:lang w:val="en-US" w:eastAsia="zh-CN"/>
            </w:rPr>
            <w:t>01</w:t>
          </w:r>
          <w:r>
            <w:rPr>
              <w:rFonts w:hint="eastAsia" w:ascii="Times New Roman" w:hAnsi="Times New Roman"/>
              <w:sz w:val="24"/>
              <w:szCs w:val="24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高职院校计算机网络技术专业---人才培养方案制定的探索与研究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陈懋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hint="eastAsia" w:ascii="Times New Roman" w:hAnsi="Times New Roman"/>
              <w:sz w:val="24"/>
              <w:lang w:val="en-US" w:eastAsia="zh-CN"/>
            </w:rPr>
            <w:t>62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/>
              <w:sz w:val="24"/>
              <w:szCs w:val="24"/>
            </w:rPr>
          </w:pPr>
          <w:r>
            <w:rPr>
              <w:rFonts w:hint="eastAsia" w:ascii="Times New Roman" w:hAnsi="Times New Roman"/>
              <w:sz w:val="24"/>
              <w:szCs w:val="24"/>
              <w:lang w:val="en-US" w:eastAsia="zh-CN"/>
            </w:rPr>
            <w:t>02</w:t>
          </w:r>
          <w:r>
            <w:rPr>
              <w:rFonts w:hint="eastAsia" w:ascii="Times New Roman" w:hAnsi="Times New Roman"/>
              <w:sz w:val="24"/>
              <w:szCs w:val="24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大学校园精神弘扬与培育研究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刘会玲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hint="eastAsia" w:ascii="Times New Roman" w:hAnsi="Times New Roman"/>
              <w:sz w:val="24"/>
              <w:lang w:val="en-US" w:eastAsia="zh-CN"/>
            </w:rPr>
            <w:t>67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/>
              <w:sz w:val="24"/>
              <w:szCs w:val="24"/>
              <w:lang w:val="en-US" w:eastAsia="zh-CN"/>
            </w:rPr>
            <w:t>03</w:t>
          </w:r>
          <w:r>
            <w:rPr>
              <w:rFonts w:hint="eastAsia" w:ascii="Times New Roman" w:hAnsi="Times New Roman"/>
              <w:sz w:val="24"/>
              <w:szCs w:val="24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浅析海峡学院特色办学与可持续发展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胡晶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hint="eastAsia" w:ascii="Times New Roman" w:hAnsi="Times New Roman"/>
              <w:sz w:val="24"/>
              <w:lang w:val="en-US" w:eastAsia="zh-CN"/>
            </w:rPr>
            <w:t>72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/>
              <w:sz w:val="24"/>
              <w:szCs w:val="24"/>
            </w:rPr>
          </w:pPr>
          <w:r>
            <w:rPr>
              <w:rFonts w:hint="eastAsia" w:ascii="Times New Roman" w:hAnsi="Times New Roman"/>
              <w:sz w:val="24"/>
              <w:szCs w:val="24"/>
              <w:lang w:val="en-US" w:eastAsia="zh-CN"/>
            </w:rPr>
            <w:t>04</w:t>
          </w:r>
          <w:r>
            <w:rPr>
              <w:rFonts w:hint="eastAsia" w:ascii="Times New Roman" w:hAnsi="Times New Roman"/>
              <w:sz w:val="24"/>
              <w:szCs w:val="24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浅析高职高专学生如何从职业道德教育建立就业优势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王志群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hint="eastAsia" w:ascii="Times New Roman" w:hAnsi="Times New Roman"/>
              <w:sz w:val="24"/>
              <w:lang w:val="en-US" w:eastAsia="zh-CN"/>
            </w:rPr>
            <w:t>76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/>
              <w:sz w:val="24"/>
              <w:szCs w:val="24"/>
              <w:lang w:val="en-US" w:eastAsia="zh-CN"/>
            </w:rPr>
            <w:t>05</w:t>
          </w:r>
          <w:r>
            <w:rPr>
              <w:rFonts w:hint="eastAsia" w:ascii="Times New Roman" w:hAnsi="Times New Roman"/>
              <w:sz w:val="24"/>
              <w:szCs w:val="24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高职发展的目的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吕守向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hint="eastAsia" w:ascii="Times New Roman" w:hAnsi="Times New Roman"/>
              <w:sz w:val="24"/>
              <w:lang w:val="en-US" w:eastAsia="zh-CN"/>
            </w:rPr>
            <w:t>80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06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《数据通信》实训课程教学改革方法的探讨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汤紫雄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84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07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浅析抽象主义绘画艺术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董航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87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08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NET相关课程教学方法研究与探讨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郑美容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91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09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关于《电磁场》课程理论教学的探讨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李婷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95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10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关于《电磁场》课程理论教学的探讨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蒋雯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99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11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浅析电子商务专业的教学问题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朱甜甜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103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12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构建订单培养平台 实现校企无缝对接——高职院校教改思路探讨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>陈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湉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108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13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关于高职《营销策划》项目教学模式的探索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廖斌斌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114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14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高职院校《网络营销》课程改革初探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张晓芳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118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15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会计教学改革初析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占娜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124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16浅谈高职院校《形势与政策》课程教学改革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卢志雄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128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17 浅析卓越绩效模式在高职院校教学改革中的应用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黄晓薇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133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18 探究式教学模式在高职金融学课程中的应用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李丽华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139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19 体验营销下企业行为分析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吴延洁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145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20 浅谈学生职业技能培养的改进策略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杨朋朋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151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21 中西方会计理论比较研究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毛文芳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155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22 高职教育课堂教学中实践能力培养的应用路径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李学玲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160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23 浅淡《建筑工程概预算》课程教学中的特点与改革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郑碧贞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164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24 大学生理想信念缺失的原因及策略探析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徐春妹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167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25 探索“七个怎么看”与《毛泽东思想和中国特色社会主义理论体系概论》的融合之道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陈建清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171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26 培育先进的网络文化促进人的全面发展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蒋瑞雪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176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27 非数学专业的行列式教学浅谈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黄琴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181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28 高职院校高等数学教学改革浅析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黄新丽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183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29 提高高等数学教学质量的对策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杨静俐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187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30 论高等职业院校数学教学改革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林伟奇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191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leftChars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31 我院高职大学英语分级教学浅析与展望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张力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195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 xml:space="preserve">32 任务型教学法在高职院校商务英语写作课程中的应用 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黄丽华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199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33 浅谈高职高专学生英语能力考试应对方略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丁燕飞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206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34 浅谈职业学校英语教学改革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余龙菊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211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35 高职高专院校英语学困生成因及其转化对策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郭敏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215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36 浅析高校英语教学改革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韩小清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221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37 提高大学英语课堂语言输入有效性的探究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陈超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225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38 论高职高专学生英语学习兴趣的培养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林文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231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39 参加“全国高校翻译师资培训”对我院英语专业翻译教学的启示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黄杰辉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235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40 如何应对高职高专学生在体育活动中的风险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陈平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239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41 关于高职体育课程改革的思考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张世榕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244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42 普通高等院校网球选项课教学改革初探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刘伟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247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43 主观用力程度对体质测试成绩的影响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欧志冰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252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44 高校体育舞蹈课程建设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王加敏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261</w:t>
          </w:r>
        </w:p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400" w:lineRule="exact"/>
            <w:ind w:left="0" w:leftChars="0" w:right="0" w:rightChars="0" w:firstLine="0" w:firstLineChars="0"/>
            <w:jc w:val="left"/>
            <w:textAlignment w:val="auto"/>
            <w:rPr>
              <w:rFonts w:hint="eastAsia"/>
              <w:b/>
              <w:bCs/>
              <w:sz w:val="28"/>
              <w:szCs w:val="28"/>
              <w:lang w:val="en-US" w:eastAsia="zh-CN"/>
            </w:rPr>
          </w:pPr>
          <w:bookmarkStart w:id="0" w:name="_Toc27501"/>
          <w:r>
            <w:rPr>
              <w:rFonts w:hint="eastAsia"/>
              <w:b/>
              <w:bCs/>
              <w:sz w:val="28"/>
              <w:szCs w:val="28"/>
              <w:lang w:val="en-US" w:eastAsia="zh-CN"/>
            </w:rPr>
            <w:t>二、科学研究</w:t>
          </w:r>
          <w:bookmarkEnd w:id="0"/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01 多功能手持计分器的设计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刘顺财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264</w:t>
          </w:r>
          <w:r>
            <w:rPr>
              <w:rFonts w:ascii="Times New Roman" w:hAnsi="Times New Roman" w:eastAsia="宋体"/>
              <w:sz w:val="24"/>
            </w:rPr>
            <w:tab/>
          </w:r>
        </w:p>
        <w:p>
          <w:pPr>
            <w:pStyle w:val="6"/>
            <w:tabs>
              <w:tab w:val="right" w:leader="dot" w:pos="8306"/>
            </w:tabs>
          </w:pPr>
        </w:p>
      </w:sdtContent>
    </w:sdt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   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4A287D48"/>
    <w:rsid w:val="0D2F6C3B"/>
    <w:rsid w:val="125941BE"/>
    <w:rsid w:val="3A726921"/>
    <w:rsid w:val="3CF05087"/>
    <w:rsid w:val="3FA96941"/>
    <w:rsid w:val="4A287D48"/>
    <w:rsid w:val="621748AF"/>
    <w:rsid w:val="6C1A634D"/>
    <w:rsid w:val="7925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2023-03-12T02:16:00Z</dcterms:created>
  <dc:creator>浅若夏沫‘’</dc:creator>
  <cp:lastModifiedBy>浅若夏沫‘’</cp:lastModifiedBy>
  <dcterms:modified xsi:type="dcterms:W3CDTF">2023-04-19T06:16:50Z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FC708EA8F6794FFEA50C1B9261A15A5D_13</vt:lpwstr>
  </property>
</Properties>
</file>