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20" w:lineRule="auto"/>
        <w:ind w:lef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第二届教学研究与科学研究论文获奖人员名单一览表</w:t>
      </w:r>
    </w:p>
    <w:bookmarkEnd w:id="0"/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5"/>
        <w:gridCol w:w="6522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pct"/>
            <w:vAlign w:val="top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b/>
                <w:kern w:val="0"/>
                <w:sz w:val="24"/>
                <w:szCs w:val="28"/>
                <w:lang w:bidi="ar"/>
              </w:rPr>
              <w:t>等级</w:t>
            </w:r>
          </w:p>
        </w:tc>
        <w:tc>
          <w:tcPr>
            <w:tcW w:w="3825" w:type="pct"/>
            <w:vAlign w:val="top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b/>
                <w:kern w:val="0"/>
                <w:sz w:val="24"/>
                <w:szCs w:val="28"/>
                <w:lang w:bidi="ar"/>
              </w:rPr>
              <w:t>论文题目</w:t>
            </w:r>
          </w:p>
        </w:tc>
        <w:tc>
          <w:tcPr>
            <w:tcW w:w="607" w:type="pct"/>
            <w:vAlign w:val="top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b/>
                <w:kern w:val="0"/>
                <w:sz w:val="24"/>
                <w:szCs w:val="28"/>
                <w:lang w:bidi="ar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2" w:hRule="atLeast"/>
        </w:trPr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一等奖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黄榦与南宋福州书院文化教育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="120" w:beforeLines="0" w:after="12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方彦寿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二等奖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算子矩阵Kato-Weyl谱的摄动性质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吴珍莺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二等奖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关于高职会计实践教学中存在的问题和对策探讨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="120" w:beforeLines="0" w:after="12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方秀华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二等奖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数学建模与高职高专数学教学改革的探讨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万丙晟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三等奖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“软硬兼施”——高职院校计算机应用基础课程教学改革研究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张璜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三等奖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高职院校通信专业就业导向课程开发研究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郑劲松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三等奖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从方法论上把握“七个怎么看”与思政课的融合之道</w:t>
            </w:r>
          </w:p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——以毛概课为例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叶灵珍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三等奖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公允价值计量在我国上市银行中的运用分析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</w:trPr>
        <w:tc>
          <w:tcPr>
            <w:tcW w:w="566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三等奖</w:t>
            </w:r>
          </w:p>
        </w:tc>
        <w:tc>
          <w:tcPr>
            <w:tcW w:w="3825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hint="eastAsia" w:ascii="宋体" w:hAnsi="宋体" w:cs="Tahoma"/>
                <w:sz w:val="24"/>
                <w:szCs w:val="12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追求“模因”的力量</w:t>
            </w:r>
          </w:p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----模因论关照下的高职专门用途英语（ESP）教学实践探索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beforeLines="0" w:afterLines="0" w:line="15" w:lineRule="atLeast"/>
              <w:jc w:val="center"/>
              <w:rPr>
                <w:rFonts w:ascii="宋体" w:hAnsi="宋体" w:eastAsia="宋体"/>
                <w:sz w:val="24"/>
                <w:vertAlign w:val="baseline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8"/>
                <w:lang w:bidi="ar"/>
              </w:rPr>
              <w:t>黄丽奇</w:t>
            </w:r>
          </w:p>
        </w:tc>
      </w:tr>
    </w:tbl>
    <w:p>
      <w:pPr>
        <w:jc w:val="center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Sans Semibold">
    <w:panose1 w:val="00000700000000000000"/>
    <w:charset w:val="86"/>
    <w:family w:val="auto"/>
    <w:pitch w:val="default"/>
    <w:sig w:usb0="80000287" w:usb1="080F1811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Kozuka Mincho Pro B">
    <w:panose1 w:val="02020800000000000000"/>
    <w:charset w:val="80"/>
    <w:family w:val="auto"/>
    <w:pitch w:val="default"/>
    <w:sig w:usb0="E00002FF" w:usb1="6AC7FCFF" w:usb2="00000012" w:usb3="00000000" w:csb0="00020005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大波浪圓體 CJK JP-Regular">
    <w:panose1 w:val="00000000000000000000"/>
    <w:charset w:val="88"/>
    <w:family w:val="auto"/>
    <w:pitch w:val="default"/>
    <w:sig w:usb0="800002A7" w:usb1="28C760FB" w:usb2="00000012" w:usb3="00000000" w:csb0="40120005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72A27"/>
    <w:rsid w:val="21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2023-03-28T03:18:00Z</dcterms:created>
  <dc:creator>浅若夏沫‘’</dc:creator>
  <cp:lastModifiedBy>浅若夏沫‘’</cp:lastModifiedBy>
  <dcterms:modified xsi:type="dcterms:W3CDTF">2023-03-28T06:54:59Z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6EC18CD27DBC41DA98B9AC5FEE86832B</vt:lpwstr>
  </property>
</Properties>
</file>