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256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theme="minorBidi"/>
          <w:kern w:val="2"/>
          <w:sz w:val="24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44"/>
              <w:szCs w:val="44"/>
            </w:rPr>
          </w:pPr>
          <w:bookmarkStart w:id="0" w:name="_Toc22523_WPSOffice_Type1"/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</w:pPr>
          <w:sdt>
            <w:sdtP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id w:val="147470256"/>
              <w:placeholder>
                <w:docPart w:val="{2eb8fc0e-a7ba-4c74-a493-f6a5fd5bae0a}"/>
              </w:placeholder>
              <w15:color w:val="509DF3"/>
            </w:sdtPr>
            <w:sdtEndP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sdtEndPr>
            <w:sdtContent>
              <w:bookmarkEnd w:id="0"/>
              <w:r>
                <w:rPr>
                  <w:rFonts w:ascii="宋体" w:hAnsi="宋体" w:eastAsia="宋体" w:cs="宋体"/>
                  <w:b/>
                  <w:bCs/>
                  <w:i w:val="0"/>
                  <w:iCs w:val="0"/>
                  <w:caps w:val="0"/>
                  <w:color w:val="000000"/>
                  <w:spacing w:val="0"/>
                  <w:kern w:val="0"/>
                  <w:sz w:val="28"/>
                  <w:szCs w:val="28"/>
                  <w:lang w:val="en-US" w:eastAsia="zh-CN" w:bidi="ar"/>
                </w:rPr>
                <w:t>第一部分 获奖论文</w:t>
              </w:r>
            </w:sdtContent>
          </w:sdt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01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道“译”可道：图式理论在《道德经》英译研究中的运用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黄丽奇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 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02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高层建筑TD-SCDMA室内分布系统方案设计的分析研究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陈懋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03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中国旅游效率评价与区域差异研究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廖斌斌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04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以目标为导向变“要我学”为“我要学” 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李莹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05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求解广义凸规划的神经网络方法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杨静俐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06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污水处理钢筋混凝土水池抗渗控制                    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刘常涛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37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07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基于协同电子商务的企业供应链牛鞭效应研究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魏洪茂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41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08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纸质在平面设计中的情感传达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黄剑平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49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</w:pPr>
          <w:r>
            <w:rPr>
              <w:rFonts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>第二部分</w:t>
          </w:r>
          <w:r>
            <w:rPr>
              <w:rFonts w:hint="eastAsia"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 xml:space="preserve"> </w:t>
          </w:r>
          <w:r>
            <w:rPr>
              <w:rFonts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>教育教改类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01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对高职院校高等数学教学改革的几点看法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黄琴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53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02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“任务驱动”教学法在《数据库原理与应用》课程教学中的应用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李婷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55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03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《光纤通信》课程教学方法的探讨    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谢晖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58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04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职业教育与教学改革思路探讨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陈湉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62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05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高职《现代物流基础》课程改革与实践研究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朱文娟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65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06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高职高专金融类课程教学模式探讨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李丽华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68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07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高职院校通信专业校企合作模式创新 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郑劲松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72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08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高职高专翻译教材建设的问题及对策探究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黄杰辉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77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09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跨文化交际能力在高职高专英语教学中的培养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黄丽华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82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10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高等数学课程的教学实践与探索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黄新丽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87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11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怎样培养学生学习数学的兴趣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林伟奇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90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12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高职院校专业特色的培育方式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毛文芳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93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13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浅析高职专业课程教学与企业文化对接的研究与实践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黄晓薇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96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14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数据通信课程教学探讨  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林薇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100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15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新建应用型本科土木工程专业的定位探讨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陈琪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104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16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论职业院校内涵建设的策略   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杨朋朋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110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17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浅谈高职高专院校英语趣味性教学 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余龙菊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114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18 </w:t>
          </w: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注重内涵，强调特色，树立品牌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b w:val="0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沈菲</w:t>
          </w:r>
          <w:r>
            <w:rPr>
              <w:rFonts w:ascii="Times New Roman" w:hAnsi="Times New Roman" w:eastAsia="宋体"/>
              <w:b w:val="0"/>
              <w:sz w:val="24"/>
            </w:rPr>
            <w:tab/>
          </w:r>
          <w:r>
            <w:rPr>
              <w:rFonts w:hint="eastAsia" w:ascii="Times New Roman" w:hAnsi="Times New Roman" w:eastAsia="宋体"/>
              <w:b w:val="0"/>
              <w:sz w:val="24"/>
              <w:lang w:val="en-US" w:eastAsia="zh-CN"/>
            </w:rPr>
            <w:t>117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>自然科学类</w:t>
          </w:r>
          <w:r>
            <w:rPr>
              <w:rFonts w:hint="default" w:ascii="Times New Roman" w:hAnsi="Times New Roman" w:eastAsia="宋体" w:cs="Tahoma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2"/>
              <w:lang w:val="en-US" w:eastAsia="zh-CN" w:bidi="ar"/>
            </w:rPr>
            <w:br w:type="textWrapping"/>
          </w:r>
          <w:r>
            <w:rPr>
              <w:rFonts w:hint="eastAsia" w:ascii="Times New Roman" w:hAnsi="Times New Roman" w:eastAsia="宋体" w:cs="Tahoma"/>
              <w:b w:val="0"/>
              <w:i w:val="0"/>
              <w:iCs w:val="0"/>
              <w:caps w:val="0"/>
              <w:color w:val="000000"/>
              <w:spacing w:val="0"/>
              <w:kern w:val="0"/>
              <w:sz w:val="24"/>
              <w:szCs w:val="12"/>
              <w:lang w:val="en-US" w:eastAsia="zh-CN" w:bidi="ar"/>
            </w:rPr>
            <w:t xml:space="preserve">01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HTML5核心WEB技术分析                    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胡晶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120</w:t>
          </w:r>
          <w:r>
            <w:rPr>
              <w:rFonts w:ascii="Times New Roman" w:hAnsi="Times New Roman" w:eastAsia="宋体"/>
              <w:sz w:val="24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02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高速铁路连续梁施工控制与对策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陈镇浩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03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电力电气设备状态检修技术的研究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吕守向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128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04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高铁系杆拱施工质量及安全控制 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苏诗媛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132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05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关于高层建筑上部结构嵌固部位的选取 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黄璇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135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06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基于文化规划的福州旧城改造研究            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黄贞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139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07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基于智能设备的考试系统可行性研究 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张璜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151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08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宽带码分多址高层导频污染优化策略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汤紫雄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155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09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浅谈福州市交通模式的优化 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吴建霞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159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10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浅谈构建嵌入式系统         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刘顺财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162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11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浅谈悬索桥施工方法    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雷丽君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166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12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影响沥青路面温度场分布的因素浅析 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王桂茵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170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13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无线电作弊的危害与防御     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郑清晨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175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</w:pPr>
          <w:r>
            <w:rPr>
              <w:rFonts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>管理学类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01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浅议会计准则与企业所得税法的差异及协调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吴市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181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02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基于食品安全视角的中国农产品出口问题研究 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曹文娟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187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03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谈建设工程中业主管理的相关问题 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陈春燕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192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04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国家核心利益视野下的台湾问题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卢志雄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196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05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决策树法在建筑工程投标决策中的应用 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郑碧贞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200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06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民间资本的现状与对策研究  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方秀华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206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07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我国投资基金锚定式偏差研究 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潘斯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210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08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基于服务特点的服务营销定位战略                              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吴延洁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216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09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碳排放权会计处理初探          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占娜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220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10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提高企业核心竞争力的财务策略                       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张晓芳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224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ascii="宋体" w:hAnsi="宋体" w:eastAsia="宋体" w:cs="宋体"/>
              <w:b/>
              <w:bCs/>
              <w:i w:val="0"/>
              <w:iCs w:val="0"/>
              <w:caps w:val="0"/>
              <w:color w:val="000000"/>
              <w:spacing w:val="0"/>
              <w:kern w:val="0"/>
              <w:sz w:val="28"/>
              <w:szCs w:val="28"/>
              <w:lang w:val="en-US" w:eastAsia="zh-CN" w:bidi="ar"/>
            </w:rPr>
            <w:t>艺术类</w:t>
          </w:r>
          <w:r>
            <w:rPr>
              <w:rFonts w:hint="default" w:ascii="Tahoma" w:hAnsi="Tahoma" w:eastAsia="Tahoma" w:cs="Tahoma"/>
              <w:i w:val="0"/>
              <w:iCs w:val="0"/>
              <w:caps w:val="0"/>
              <w:color w:val="000000"/>
              <w:spacing w:val="0"/>
              <w:kern w:val="0"/>
              <w:sz w:val="12"/>
              <w:szCs w:val="12"/>
              <w:lang w:val="en-US" w:eastAsia="zh-CN" w:bidi="ar"/>
            </w:rPr>
            <w:br w:type="textWrapping"/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01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论中国传统文化元素在现代标志设计中的应用 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丁超群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229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02 </w:t>
          </w: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试论奥运海报的历史和艺术形式                  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董航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233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 xml:space="preserve">03 </w:t>
          </w:r>
          <w:bookmarkStart w:id="1" w:name="_GoBack"/>
          <w:bookmarkEnd w:id="1"/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浅谈设计中的技术理念对方案创作的影响                            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16"/>
              <w:lang w:val="en-US" w:eastAsia="zh-CN" w:bidi="ar"/>
            </w:rPr>
            <w:t>薛理贵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240</w:t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</w:rPr>
          </w:pPr>
        </w:p>
      </w:sdtContent>
    </w:sdt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7304510"/>
    <w:rsid w:val="27304510"/>
    <w:rsid w:val="3A3E3EEE"/>
    <w:rsid w:val="64A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eb8fc0e-a7ba-4c74-a493-f6a5fd5bae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8fc0e-a7ba-4c74-a493-f6a5fd5bae0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2023-03-13T07:26:00Z</dcterms:created>
  <dc:creator>浅若夏沫‘’</dc:creator>
  <cp:lastModifiedBy>浅若夏沫‘’</cp:lastModifiedBy>
  <dcterms:modified xsi:type="dcterms:W3CDTF">2023-03-13T08:33:26Z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1654275293524F00B863A8798B9AB70A</vt:lpwstr>
  </property>
</Properties>
</file>