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50" w:beforeAutospacing="0" w:after="50" w:afterAutospacing="0" w:line="720" w:lineRule="auto"/>
        <w:ind w:left="0" w:right="0" w:firstLine="0"/>
        <w:jc w:val="center"/>
        <w:rPr>
          <w:rFonts w:hint="default" w:ascii="宋体" w:hAnsi="宋体" w:eastAsia="宋体" w:cs="Tahoma"/>
          <w:i w:val="0"/>
          <w:iCs w:val="0"/>
          <w:caps w:val="0"/>
          <w:color w:val="000000"/>
          <w:spacing w:val="0"/>
          <w:sz w:val="24"/>
          <w:szCs w:val="12"/>
        </w:rPr>
      </w:pPr>
      <w:bookmarkStart w:id="0" w:name="_GoBack"/>
      <w:r>
        <w:rPr>
          <w:rFonts w:ascii="宋体" w:hAnsi="宋体" w:eastAsia="黑体" w:cs="方正小标宋简体"/>
          <w:b/>
          <w:bCs/>
          <w:i w:val="0"/>
          <w:iCs w:val="0"/>
          <w:caps w:val="0"/>
          <w:color w:val="000000"/>
          <w:spacing w:val="0"/>
          <w:kern w:val="0"/>
          <w:sz w:val="32"/>
          <w:szCs w:val="44"/>
          <w:lang w:val="en-US" w:eastAsia="zh-CN" w:bidi="ar"/>
        </w:rPr>
        <w:t>福州理工学院科研成果认定与奖励规定（试行）</w:t>
      </w:r>
      <w:r>
        <w:rPr>
          <w:rFonts w:ascii="宋体" w:hAnsi="宋体" w:eastAsia="宋体" w:cs="仿宋"/>
          <w:i w:val="0"/>
          <w:iCs w:val="0"/>
          <w:caps w:val="0"/>
          <w:color w:val="000000"/>
          <w:spacing w:val="0"/>
          <w:kern w:val="0"/>
          <w:sz w:val="24"/>
          <w:szCs w:val="28"/>
          <w:lang w:val="en-US" w:eastAsia="zh-CN" w:bidi="ar"/>
        </w:rPr>
        <w:t> </w:t>
      </w:r>
    </w:p>
    <w:bookmarkEnd w:id="0"/>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为了进一步加快应用型本科高校建设，提高学校的科研水平，鼓励广大教职员工积极提升科研能力，现制定为本管理规定。</w:t>
      </w:r>
    </w:p>
    <w:p>
      <w:pPr>
        <w:keepNext w:val="0"/>
        <w:keepLines w:val="0"/>
        <w:widowControl/>
        <w:suppressLineNumbers w:val="0"/>
        <w:shd w:val="clear" w:fill="FFFFFF"/>
        <w:spacing w:before="50" w:beforeAutospacing="0" w:after="50" w:afterAutospacing="0"/>
        <w:ind w:right="0"/>
        <w:jc w:val="left"/>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shd w:val="clear" w:fill="FFFFFF"/>
          <w:lang w:val="en-US" w:eastAsia="zh-CN" w:bidi="ar"/>
        </w:rPr>
        <w:t>一、论文认定及奖励</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ascii="宋体" w:hAnsi="宋体" w:eastAsia="宋体" w:cs="楷体"/>
          <w:b/>
          <w:bCs/>
          <w:i w:val="0"/>
          <w:iCs w:val="0"/>
          <w:caps w:val="0"/>
          <w:color w:val="000000"/>
          <w:spacing w:val="0"/>
          <w:kern w:val="0"/>
          <w:sz w:val="24"/>
          <w:szCs w:val="32"/>
          <w:shd w:val="clear" w:fill="FFFFFF"/>
          <w:lang w:val="en-US" w:eastAsia="zh-CN" w:bidi="ar"/>
        </w:rPr>
        <w:t>（一）顶级刊物</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Nature、Science、Cell。</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楷体"/>
          <w:b/>
          <w:bCs/>
          <w:i w:val="0"/>
          <w:iCs w:val="0"/>
          <w:caps w:val="0"/>
          <w:color w:val="000000"/>
          <w:spacing w:val="0"/>
          <w:kern w:val="0"/>
          <w:sz w:val="24"/>
          <w:szCs w:val="32"/>
          <w:shd w:val="clear" w:fill="FFFFFF"/>
          <w:lang w:val="en-US" w:eastAsia="zh-CN" w:bidi="ar"/>
        </w:rPr>
        <w:t>（二）权威期刊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1．权威期刊的重点以福建省教育厅职改办和福建省重点高校认定的标志性、全国性、权威性的学术期刊为参照系。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2．权威期刊主要以国家部委（不含下属研究所）主办的本学科相关领域的学术刊物或中国科学院、中国工程院、中国社科院所属研究院所主办的本学科相关领域的学术刊物、国家一级学会、研究会会刊、各学报英文版为基准，并为CSCD（《中国科学引文数据库》）核心库或CSSCI（《中文社会科学引文索引》）等所收录。</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3．被科学引文索引( SCI)、社会科学引文索引(SSCI)、工程索引( EI)、艺术人文引文索引(AHCI)收录的学术论文。</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楷体"/>
          <w:b/>
          <w:bCs/>
          <w:i w:val="0"/>
          <w:iCs w:val="0"/>
          <w:caps w:val="0"/>
          <w:color w:val="000000"/>
          <w:spacing w:val="0"/>
          <w:kern w:val="0"/>
          <w:sz w:val="24"/>
          <w:szCs w:val="32"/>
          <w:shd w:val="clear" w:fill="FFFFFF"/>
          <w:lang w:val="en-US" w:eastAsia="zh-CN" w:bidi="ar"/>
        </w:rPr>
        <w:t>（三）核心期刊</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除上述权威期刊外，在以下三个遴选体系所列刊物上的为核心期刊：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1．北京大学图书馆“中文核心期刊”；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2．中国科学院文献情报中心“中国科学引文数据库( CSCD)来源期刊”；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3．南京大学“中文社会科学引文索引( CSSCI)来源期刊”。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说明：以上遴选体系原则上以最新版的为准。  </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楷体"/>
          <w:b/>
          <w:bCs/>
          <w:i w:val="0"/>
          <w:iCs w:val="0"/>
          <w:caps w:val="0"/>
          <w:color w:val="000000"/>
          <w:spacing w:val="0"/>
          <w:kern w:val="0"/>
          <w:sz w:val="24"/>
          <w:szCs w:val="32"/>
          <w:shd w:val="clear" w:fill="FFFFFF"/>
          <w:lang w:val="en-US" w:eastAsia="zh-CN" w:bidi="ar"/>
        </w:rPr>
        <w:t>（四）奖励金额</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1．论文在《Nature》、《Science》、《Cell》发表的，奖励20万元／篇。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2．论文在SCI2区以上收录，或论文在《中国科学》、《中国社会科学》发表的，奖励3万元／篇。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3．论文在SCI3区收录，被SSCI、AHCI 、ISTP收录，奖励2万元／篇。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4．论文在SCI4区收录、EI（核心版、拓展版，以中国科技技术信息研究所发布的收录为准）、ISTP、ISSHP收录，或《新华文摘》全文转载的，奖励 1万元／篇。</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5．论文发表在上述认定原则中的中文核心期刊、CSSCI、 CSCD遴选体系所列刊物上的，奖励0.8万元／篇。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6．论文在CSSCI（扩展版）、CSCD（扩展版）遴选体系所列刊物上的，或《新华文摘》转载2000字以上的，奖励0.6万元／篇。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7．论文发表在国家“985”、“211工程”高校和福建师范大学、福建农林大学主办的学报，奖励O.4万元／篇。</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说明：以上刊物在归属上如有重复，相应奖励就高不就低。</w:t>
      </w:r>
    </w:p>
    <w:p>
      <w:pPr>
        <w:keepNext w:val="0"/>
        <w:keepLines w:val="0"/>
        <w:widowControl/>
        <w:suppressLineNumbers w:val="0"/>
        <w:shd w:val="clear" w:fill="FFFFFF"/>
        <w:spacing w:before="50" w:beforeAutospacing="0" w:after="50" w:afterAutospacing="0"/>
        <w:ind w:right="0"/>
        <w:jc w:val="left"/>
        <w:rPr>
          <w:rFonts w:hint="default" w:ascii="宋体" w:hAnsi="宋体" w:eastAsia="宋体" w:cs="Tahoma"/>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shd w:val="clear" w:fill="FFFFFF"/>
          <w:lang w:val="en-US" w:eastAsia="zh-CN" w:bidi="ar"/>
        </w:rPr>
        <w:t>二、学术著作奖励 </w:t>
      </w:r>
      <w:r>
        <w:rPr>
          <w:rFonts w:hint="eastAsia" w:ascii="宋体" w:hAnsi="宋体" w:eastAsia="宋体" w:cs="黑体"/>
          <w:i w:val="0"/>
          <w:iCs w:val="0"/>
          <w:caps w:val="0"/>
          <w:color w:val="000000"/>
          <w:spacing w:val="0"/>
          <w:kern w:val="0"/>
          <w:sz w:val="24"/>
          <w:szCs w:val="32"/>
          <w:shd w:val="clear" w:fill="FFFFFF"/>
          <w:lang w:val="en-US" w:eastAsia="zh-CN" w:bidi="ar"/>
        </w:rPr>
        <w:t>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国家级出版社出版的学术专著的0.2万元／万字。译著（首译）为奖励标准的60%，由学校资助出版的为40%。   </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省部级和高校出版社出版的学术专著的0.1万元／万字；译著（首译）为奖励标准的60%，由学校资助出版的为40%。</w:t>
      </w:r>
    </w:p>
    <w:p>
      <w:pPr>
        <w:keepNext w:val="0"/>
        <w:keepLines w:val="0"/>
        <w:widowControl/>
        <w:suppressLineNumbers w:val="0"/>
        <w:shd w:val="clear" w:fill="FFFFFF"/>
        <w:spacing w:before="50" w:beforeAutospacing="0" w:after="50" w:afterAutospacing="0"/>
        <w:ind w:right="0"/>
        <w:jc w:val="left"/>
        <w:rPr>
          <w:rFonts w:hint="default" w:ascii="宋体" w:hAnsi="宋体" w:eastAsia="宋体" w:cs="Tahoma"/>
          <w:b/>
          <w:bCs/>
          <w:i w:val="0"/>
          <w:iCs w:val="0"/>
          <w:caps w:val="0"/>
          <w:color w:val="000000"/>
          <w:spacing w:val="0"/>
          <w:sz w:val="24"/>
          <w:szCs w:val="12"/>
        </w:rPr>
      </w:pPr>
      <w:r>
        <w:rPr>
          <w:rFonts w:hint="eastAsia" w:ascii="宋体" w:hAnsi="宋体" w:eastAsia="宋体" w:cs="黑体"/>
          <w:b/>
          <w:bCs/>
          <w:i w:val="0"/>
          <w:iCs w:val="0"/>
          <w:caps w:val="0"/>
          <w:color w:val="000000"/>
          <w:spacing w:val="0"/>
          <w:kern w:val="0"/>
          <w:sz w:val="24"/>
          <w:szCs w:val="32"/>
          <w:shd w:val="clear" w:fill="FFFFFF"/>
          <w:lang w:val="en-US" w:eastAsia="zh-CN" w:bidi="ar"/>
        </w:rPr>
        <w:t>三、论文、提案、咨询报告、研究报告、政策建议等征集奖励    </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楷体"/>
          <w:b/>
          <w:bCs/>
          <w:i w:val="0"/>
          <w:iCs w:val="0"/>
          <w:caps w:val="0"/>
          <w:color w:val="000000"/>
          <w:spacing w:val="0"/>
          <w:kern w:val="0"/>
          <w:sz w:val="24"/>
          <w:szCs w:val="32"/>
          <w:shd w:val="clear" w:fill="FFFFFF"/>
          <w:lang w:val="en-US" w:eastAsia="zh-CN" w:bidi="ar"/>
        </w:rPr>
        <w:t>（一）论文征集类奖励</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入选国家级的各类征集论文，给予奖励1万元／篇；入选省、部级各类征集论文，给予奖励0.5万元／篇。 </w:t>
      </w:r>
    </w:p>
    <w:p>
      <w:pPr>
        <w:keepNext w:val="0"/>
        <w:keepLines w:val="0"/>
        <w:widowControl/>
        <w:suppressLineNumbers w:val="0"/>
        <w:shd w:val="clear" w:fill="FFFFFF"/>
        <w:spacing w:before="50" w:beforeAutospacing="0" w:after="50" w:afterAutospacing="0"/>
        <w:ind w:right="0" w:firstLine="482"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楷体"/>
          <w:b/>
          <w:bCs/>
          <w:i w:val="0"/>
          <w:iCs w:val="0"/>
          <w:caps w:val="0"/>
          <w:color w:val="000000"/>
          <w:spacing w:val="0"/>
          <w:kern w:val="0"/>
          <w:sz w:val="24"/>
          <w:szCs w:val="32"/>
          <w:shd w:val="clear" w:fill="FFFFFF"/>
          <w:lang w:val="en-US" w:eastAsia="zh-CN" w:bidi="ar"/>
        </w:rPr>
        <w:t>（二）提案、咨询报告、研究报告、政策建议类的奖励</w:t>
      </w:r>
    </w:p>
    <w:p>
      <w:pPr>
        <w:keepNext w:val="0"/>
        <w:keepLines w:val="0"/>
        <w:widowControl/>
        <w:suppressLineNumbers w:val="0"/>
        <w:shd w:val="clear" w:fill="FFFFFF"/>
        <w:spacing w:before="50" w:beforeAutospacing="0" w:after="50" w:afterAutospacing="0"/>
        <w:ind w:right="0" w:firstLine="480" w:firstLineChars="200"/>
        <w:jc w:val="left"/>
        <w:rPr>
          <w:rFonts w:hint="default" w:ascii="宋体" w:hAnsi="宋体" w:eastAsia="宋体" w:cs="Tahoma"/>
          <w:i w:val="0"/>
          <w:iCs w:val="0"/>
          <w:caps w:val="0"/>
          <w:color w:val="000000"/>
          <w:spacing w:val="0"/>
          <w:sz w:val="24"/>
          <w:szCs w:val="12"/>
        </w:rPr>
      </w:pPr>
      <w:r>
        <w:rPr>
          <w:rFonts w:hint="eastAsia" w:ascii="宋体" w:hAnsi="宋体" w:eastAsia="宋体" w:cs="仿宋_GB2312"/>
          <w:i w:val="0"/>
          <w:iCs w:val="0"/>
          <w:caps w:val="0"/>
          <w:color w:val="000000"/>
          <w:spacing w:val="0"/>
          <w:kern w:val="0"/>
          <w:sz w:val="24"/>
          <w:szCs w:val="32"/>
          <w:shd w:val="clear" w:fill="FFFFFF"/>
          <w:lang w:val="en-US" w:eastAsia="zh-CN" w:bidi="ar"/>
        </w:rPr>
        <w:t>提案、咨询报告、研究报告、政策建议等的内容被中共中央、国务院正式应用与采纳或得到中共中央、国务院领导肯定性批示</w:t>
      </w:r>
    </w:p>
    <w:p>
      <w:pPr>
        <w:jc w:val="left"/>
        <w:rPr>
          <w:rFonts w:ascii="宋体" w:hAnsi="宋体" w:eastAsia="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A31943-5519-439E-A64B-6FE766CDAB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C10B76E-6FA9-4793-A36B-612C78FE00BC}"/>
  </w:font>
  <w:font w:name="Tahoma">
    <w:panose1 w:val="020B0604030504040204"/>
    <w:charset w:val="00"/>
    <w:family w:val="auto"/>
    <w:pitch w:val="default"/>
    <w:sig w:usb0="E1002EFF" w:usb1="C000605B" w:usb2="00000029" w:usb3="00000000" w:csb0="200101FF" w:csb1="20280000"/>
    <w:embedRegular r:id="rId3" w:fontKey="{E8481CB6-37FD-4C8B-824A-F94D4A6AA8B3}"/>
  </w:font>
  <w:font w:name="方正小标宋简体">
    <w:panose1 w:val="02000000000000000000"/>
    <w:charset w:val="86"/>
    <w:family w:val="auto"/>
    <w:pitch w:val="default"/>
    <w:sig w:usb0="00000001" w:usb1="08000000" w:usb2="00000000" w:usb3="00000000" w:csb0="00040000" w:csb1="00000000"/>
    <w:embedRegular r:id="rId4" w:fontKey="{A19BFC68-DAC7-4918-B7C7-EC3F051754E9}"/>
  </w:font>
  <w:font w:name="仿宋">
    <w:panose1 w:val="02010609060101010101"/>
    <w:charset w:val="86"/>
    <w:family w:val="auto"/>
    <w:pitch w:val="default"/>
    <w:sig w:usb0="800002BF" w:usb1="38CF7CFA" w:usb2="00000016" w:usb3="00000000" w:csb0="00040001" w:csb1="00000000"/>
    <w:embedRegular r:id="rId5" w:fontKey="{D9607979-CAAE-4B46-9B41-08B16D0FD068}"/>
  </w:font>
  <w:font w:name="仿宋_GB2312">
    <w:panose1 w:val="02010609030101010101"/>
    <w:charset w:val="86"/>
    <w:family w:val="auto"/>
    <w:pitch w:val="default"/>
    <w:sig w:usb0="00000001" w:usb1="080E0000" w:usb2="00000000" w:usb3="00000000" w:csb0="00040000" w:csb1="00000000"/>
    <w:embedRegular r:id="rId6" w:fontKey="{0177CFC2-ED86-4CFA-855E-AEB16C77E616}"/>
  </w:font>
  <w:font w:name="楷体">
    <w:panose1 w:val="02010609060101010101"/>
    <w:charset w:val="86"/>
    <w:family w:val="auto"/>
    <w:pitch w:val="default"/>
    <w:sig w:usb0="800002BF" w:usb1="38CF7CFA" w:usb2="00000016" w:usb3="00000000" w:csb0="00040001" w:csb1="00000000"/>
    <w:embedRegular r:id="rId7" w:fontKey="{55213EFE-7F89-405F-AE26-1F2171F6691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6D435CA1"/>
    <w:rsid w:val="6D435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2023-03-23T08:38:00Z</dcterms:created>
  <dc:creator>浅若夏沫‘’</dc:creator>
  <cp:lastModifiedBy>浅若夏沫‘’</cp:lastModifiedBy>
  <dcterms:modified xsi:type="dcterms:W3CDTF">2023-03-23T08:40:43Z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4A69E4D6FABE4FE9B12DC36482E66A6E</vt:lpwstr>
  </property>
</Properties>
</file>