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50" w:beforeAutospacing="0" w:after="50" w:afterAutospacing="0" w:line="720" w:lineRule="auto"/>
        <w:ind w:left="0" w:right="0" w:firstLine="0"/>
        <w:jc w:val="center"/>
        <w:rPr>
          <w:rFonts w:hint="eastAsia" w:ascii="黑体" w:hAnsi="黑体" w:eastAsia="黑体" w:cs="黑体"/>
          <w:b/>
          <w:bCs/>
          <w:i w:val="0"/>
          <w:iCs w:val="0"/>
          <w:caps w:val="0"/>
          <w:color w:val="000000"/>
          <w:spacing w:val="0"/>
          <w:sz w:val="32"/>
          <w:szCs w:val="32"/>
        </w:rPr>
      </w:pPr>
      <w:bookmarkStart w:id="0" w:name="_GoBack"/>
      <w:r>
        <w:rPr>
          <w:rFonts w:hint="eastAsia" w:ascii="黑体" w:hAnsi="黑体" w:eastAsia="黑体" w:cs="黑体"/>
          <w:b/>
          <w:bCs/>
          <w:i w:val="0"/>
          <w:iCs w:val="0"/>
          <w:caps w:val="0"/>
          <w:color w:val="333333"/>
          <w:spacing w:val="0"/>
          <w:kern w:val="0"/>
          <w:sz w:val="32"/>
          <w:szCs w:val="32"/>
          <w:lang w:val="en-US" w:eastAsia="zh-CN" w:bidi="ar"/>
        </w:rPr>
        <w:t>福州市科技计划项目管理办法（试行）</w:t>
      </w:r>
    </w:p>
    <w:bookmarkEnd w:id="0"/>
    <w:p>
      <w:pPr>
        <w:pStyle w:val="3"/>
        <w:keepNext w:val="0"/>
        <w:keepLines w:val="0"/>
        <w:widowControl/>
        <w:suppressLineNumbers w:val="0"/>
        <w:spacing w:before="50" w:beforeAutospacing="0" w:after="50" w:afterAutospacing="0"/>
        <w:ind w:left="0" w:right="0" w:firstLine="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第一章  总则</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第一条  </w:t>
      </w:r>
      <w:r>
        <w:rPr>
          <w:rFonts w:hint="eastAsia" w:ascii="宋体" w:hAnsi="宋体" w:eastAsia="宋体" w:cs="宋体"/>
          <w:i w:val="0"/>
          <w:iCs w:val="0"/>
          <w:caps w:val="0"/>
          <w:color w:val="333333"/>
          <w:spacing w:val="0"/>
          <w:kern w:val="0"/>
          <w:sz w:val="24"/>
          <w:szCs w:val="24"/>
          <w:lang w:val="en-US" w:eastAsia="zh-CN" w:bidi="ar"/>
        </w:rPr>
        <w:t>为加强创新驱动，规范和强化福州市科技计划项目（以下简称：市科技计划项目）管理，提高项目管理效率和政府专项资金使用绩效，保证科技管理公开、公正和科学，发挥科技支撑引领作用，加快创新型城市建设，根据国家、福建省和福州市的有关规定，制定本办法。</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第二条  </w:t>
      </w:r>
      <w:r>
        <w:rPr>
          <w:rFonts w:hint="eastAsia" w:ascii="宋体" w:hAnsi="宋体" w:eastAsia="宋体" w:cs="宋体"/>
          <w:i w:val="0"/>
          <w:iCs w:val="0"/>
          <w:caps w:val="0"/>
          <w:color w:val="333333"/>
          <w:spacing w:val="0"/>
          <w:kern w:val="0"/>
          <w:sz w:val="24"/>
          <w:szCs w:val="24"/>
          <w:lang w:val="en-US" w:eastAsia="zh-CN" w:bidi="ar"/>
        </w:rPr>
        <w:t>本办法所称市科技计划项目，是指列入市科技计划并由市级财政科研项目资金安排经费或由市属高校、医疗机构等自筹项目经费，在一定期限内进行的研究开发、平台建设、成果产业化及其他与科技创新能力提升相关的活动。</w:t>
      </w:r>
    </w:p>
    <w:p>
      <w:pPr>
        <w:pStyle w:val="3"/>
        <w:keepNext w:val="0"/>
        <w:keepLines w:val="0"/>
        <w:widowControl/>
        <w:suppressLineNumbers w:val="0"/>
        <w:spacing w:before="50" w:beforeAutospacing="0" w:after="5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kern w:val="0"/>
          <w:sz w:val="24"/>
          <w:szCs w:val="24"/>
          <w:lang w:val="en-US" w:eastAsia="zh-CN" w:bidi="ar"/>
        </w:rPr>
        <w:t>市级财政科研项目资金可以按事前立项资助、事前立项事后补助、奖励性后补助（包括事后立项后补助）等方式进行资助。奖励性后补助资金包括各类科技奖励和补贴，资金申请与管理按相应的政策文件规定执行，不受本办法约束。</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第三条  </w:t>
      </w:r>
      <w:r>
        <w:rPr>
          <w:rFonts w:hint="eastAsia" w:ascii="宋体" w:hAnsi="宋体" w:eastAsia="宋体" w:cs="宋体"/>
          <w:i w:val="0"/>
          <w:iCs w:val="0"/>
          <w:caps w:val="0"/>
          <w:color w:val="333333"/>
          <w:spacing w:val="0"/>
          <w:kern w:val="0"/>
          <w:sz w:val="24"/>
          <w:szCs w:val="24"/>
          <w:lang w:val="en-US" w:eastAsia="zh-CN" w:bidi="ar"/>
        </w:rPr>
        <w:t>福州市科学技术局（以下简称：市科技局）根据市委、市政府工作部署和市科学技术发展规划，关注重大原创性、颠覆性、交叉学科创新等方向与领域,以问题为导向，以产业技术需求为牵引，加强政府主动布局，广泛吸纳各方意见，设定市科技计划及其项目类别，编制年度市科技计划项目申报指南（以下简称：指南）</w:t>
      </w:r>
      <w:r>
        <w:rPr>
          <w:rFonts w:hint="eastAsia" w:ascii="宋体" w:hAnsi="宋体" w:eastAsia="宋体" w:cs="宋体"/>
          <w:b/>
          <w:bCs/>
          <w:i w:val="0"/>
          <w:iCs w:val="0"/>
          <w:caps w:val="0"/>
          <w:color w:val="333333"/>
          <w:spacing w:val="0"/>
          <w:kern w:val="0"/>
          <w:sz w:val="24"/>
          <w:szCs w:val="24"/>
          <w:lang w:val="en-US" w:eastAsia="zh-CN" w:bidi="ar"/>
        </w:rPr>
        <w:t>。</w:t>
      </w:r>
      <w:r>
        <w:rPr>
          <w:rFonts w:hint="eastAsia" w:ascii="宋体" w:hAnsi="宋体" w:eastAsia="宋体" w:cs="宋体"/>
          <w:i w:val="0"/>
          <w:iCs w:val="0"/>
          <w:caps w:val="0"/>
          <w:color w:val="333333"/>
          <w:spacing w:val="0"/>
          <w:kern w:val="0"/>
          <w:sz w:val="24"/>
          <w:szCs w:val="24"/>
          <w:lang w:val="en-US" w:eastAsia="zh-CN" w:bidi="ar"/>
        </w:rPr>
        <w:t> </w:t>
      </w:r>
    </w:p>
    <w:p>
      <w:pPr>
        <w:pStyle w:val="3"/>
        <w:keepNext w:val="0"/>
        <w:keepLines w:val="0"/>
        <w:widowControl/>
        <w:suppressLineNumbers w:val="0"/>
        <w:spacing w:before="50" w:beforeAutospacing="0" w:after="50" w:afterAutospacing="0"/>
        <w:ind w:left="0"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kern w:val="0"/>
          <w:sz w:val="24"/>
          <w:szCs w:val="24"/>
          <w:lang w:val="en-US" w:eastAsia="zh-CN" w:bidi="ar"/>
        </w:rPr>
        <w:t>市科技局可以根据国家、省、市重大战略部署，设立和实施科技重大专项。</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第四条  </w:t>
      </w:r>
      <w:r>
        <w:rPr>
          <w:rFonts w:hint="eastAsia" w:ascii="宋体" w:hAnsi="宋体" w:eastAsia="宋体" w:cs="宋体"/>
          <w:i w:val="0"/>
          <w:iCs w:val="0"/>
          <w:caps w:val="0"/>
          <w:color w:val="333333"/>
          <w:spacing w:val="0"/>
          <w:kern w:val="0"/>
          <w:sz w:val="24"/>
          <w:szCs w:val="24"/>
          <w:lang w:val="en-US" w:eastAsia="zh-CN" w:bidi="ar"/>
        </w:rPr>
        <w:t>市科技计划项目管理包括指南发布与申报受理、遴选立项、实施过程管理与监督、验收结题管理等环节。</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第五条  </w:t>
      </w:r>
      <w:r>
        <w:rPr>
          <w:rFonts w:hint="eastAsia" w:ascii="宋体" w:hAnsi="宋体" w:eastAsia="宋体" w:cs="宋体"/>
          <w:i w:val="0"/>
          <w:iCs w:val="0"/>
          <w:caps w:val="0"/>
          <w:color w:val="333333"/>
          <w:spacing w:val="0"/>
          <w:kern w:val="0"/>
          <w:sz w:val="24"/>
          <w:szCs w:val="24"/>
          <w:lang w:val="en-US" w:eastAsia="zh-CN" w:bidi="ar"/>
        </w:rPr>
        <w:t>市科技计划项目按科技计划类别进行分类管理，市科技局负责综合管理，项目实施管理单位和项目承担单位按各自职责进行分级管理。</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第六条  </w:t>
      </w:r>
      <w:r>
        <w:rPr>
          <w:rFonts w:hint="eastAsia" w:ascii="宋体" w:hAnsi="宋体" w:eastAsia="宋体" w:cs="宋体"/>
          <w:i w:val="0"/>
          <w:iCs w:val="0"/>
          <w:caps w:val="0"/>
          <w:color w:val="333333"/>
          <w:spacing w:val="0"/>
          <w:kern w:val="0"/>
          <w:sz w:val="24"/>
          <w:szCs w:val="24"/>
          <w:lang w:val="en-US" w:eastAsia="zh-CN" w:bidi="ar"/>
        </w:rPr>
        <w:t>市科技计划项目按照电子政务建设的相关要求，逐步实现项目全过程信息化管理，实现项目管理网上公开和信息共享。</w:t>
      </w:r>
    </w:p>
    <w:p>
      <w:pPr>
        <w:pStyle w:val="3"/>
        <w:keepNext w:val="0"/>
        <w:keepLines w:val="0"/>
        <w:widowControl/>
        <w:suppressLineNumbers w:val="0"/>
        <w:spacing w:before="50" w:beforeAutospacing="0" w:after="50" w:afterAutospacing="0"/>
        <w:ind w:left="0" w:right="0" w:firstLine="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第二章  项目申报受理</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第七条  </w:t>
      </w:r>
      <w:r>
        <w:rPr>
          <w:rFonts w:hint="eastAsia" w:ascii="宋体" w:hAnsi="宋体" w:eastAsia="宋体" w:cs="宋体"/>
          <w:i w:val="0"/>
          <w:iCs w:val="0"/>
          <w:caps w:val="0"/>
          <w:color w:val="333333"/>
          <w:spacing w:val="0"/>
          <w:kern w:val="0"/>
          <w:sz w:val="24"/>
          <w:szCs w:val="24"/>
          <w:lang w:val="en-US" w:eastAsia="zh-CN" w:bidi="ar"/>
        </w:rPr>
        <w:t>市科技计划项目立项前工作程序包括指南编制与发布、项目申报、推荐与受理等。</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第八条  </w:t>
      </w:r>
      <w:r>
        <w:rPr>
          <w:rFonts w:hint="eastAsia" w:ascii="宋体" w:hAnsi="宋体" w:eastAsia="宋体" w:cs="宋体"/>
          <w:i w:val="0"/>
          <w:iCs w:val="0"/>
          <w:caps w:val="0"/>
          <w:color w:val="333333"/>
          <w:spacing w:val="0"/>
          <w:kern w:val="0"/>
          <w:sz w:val="24"/>
          <w:szCs w:val="24"/>
          <w:lang w:val="en-US" w:eastAsia="zh-CN" w:bidi="ar"/>
        </w:rPr>
        <w:t>对于需要编制项目申报指南的市科技计划项目，市科技局根据我市经济社会发展情况和科技发展战略与规划，按不同科技计划项目类型，编制年度市科技计划项目申报指南。市科技局常年接受各方对市科技计划重点支持方向和领域的增减或调整的建议，在编制新一年度申报指南时，将吸纳各类合理化建议，力求指南编制科学、合理。</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第九条  </w:t>
      </w:r>
      <w:r>
        <w:rPr>
          <w:rFonts w:hint="eastAsia" w:ascii="宋体" w:hAnsi="宋体" w:eastAsia="宋体" w:cs="宋体"/>
          <w:i w:val="0"/>
          <w:iCs w:val="0"/>
          <w:caps w:val="0"/>
          <w:color w:val="333333"/>
          <w:spacing w:val="0"/>
          <w:kern w:val="0"/>
          <w:sz w:val="24"/>
          <w:szCs w:val="24"/>
          <w:lang w:val="en-US" w:eastAsia="zh-CN" w:bidi="ar"/>
        </w:rPr>
        <w:t>指南对各类科技计划项目类别、重点支持领域、项目数量及资助方式、申请条件、申请材料、受理方式、审批程序等内容予以明确。指南每年定期按规定向社会主动公开。项目申报时限以指南发布的时间为准。</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第十条  </w:t>
      </w:r>
      <w:r>
        <w:rPr>
          <w:rFonts w:hint="eastAsia" w:ascii="宋体" w:hAnsi="宋体" w:eastAsia="宋体" w:cs="宋体"/>
          <w:i w:val="0"/>
          <w:iCs w:val="0"/>
          <w:caps w:val="0"/>
          <w:color w:val="333333"/>
          <w:spacing w:val="0"/>
          <w:kern w:val="0"/>
          <w:sz w:val="24"/>
          <w:szCs w:val="24"/>
          <w:lang w:val="en-US" w:eastAsia="zh-CN" w:bidi="ar"/>
        </w:rPr>
        <w:t>市科技计划项目一般采用公开竞争的方式择优遴选立项项目。对软课题项目，可采取定向征集的方式组织申报。对于企业牵头的项目，指南应对企业资质等情况提出明确要求，企业须共同投入并组织实施。省级以上立项配套资助项目按照《福州市创新驱动发展配套奖励若干意见》政策执行，配套资助项目须经省科技厅或市科技局推荐，并以上级机关计划文书为立项依据。</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第十一条  </w:t>
      </w:r>
      <w:r>
        <w:rPr>
          <w:rFonts w:hint="eastAsia" w:ascii="宋体" w:hAnsi="宋体" w:eastAsia="宋体" w:cs="宋体"/>
          <w:i w:val="0"/>
          <w:iCs w:val="0"/>
          <w:caps w:val="0"/>
          <w:color w:val="333333"/>
          <w:spacing w:val="0"/>
          <w:kern w:val="0"/>
          <w:sz w:val="24"/>
          <w:szCs w:val="24"/>
          <w:lang w:val="en-US" w:eastAsia="zh-CN" w:bidi="ar"/>
        </w:rPr>
        <w:t>项目申报单位与项目负责人应具备以下基本条件：</w:t>
      </w:r>
    </w:p>
    <w:p>
      <w:pPr>
        <w:pStyle w:val="3"/>
        <w:keepNext w:val="0"/>
        <w:keepLines w:val="0"/>
        <w:widowControl/>
        <w:suppressLineNumbers w:val="0"/>
        <w:spacing w:before="50" w:beforeAutospacing="0" w:after="50" w:afterAutospacing="0"/>
        <w:ind w:left="0"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kern w:val="0"/>
          <w:sz w:val="24"/>
          <w:szCs w:val="24"/>
          <w:lang w:val="en-US" w:eastAsia="zh-CN" w:bidi="ar"/>
        </w:rPr>
        <w:t>（一）在福州市依法注册，具有独立法人资格的企事业单位（大学以学院为项目申报单位，具有独立法人资格的学院以系或二级学院为项目申报单位）和社会组织等单位</w:t>
      </w:r>
      <w:r>
        <w:rPr>
          <w:rFonts w:hint="eastAsia" w:ascii="宋体" w:hAnsi="宋体" w:eastAsia="宋体" w:cs="宋体"/>
          <w:b/>
          <w:bCs/>
          <w:i w:val="0"/>
          <w:iCs w:val="0"/>
          <w:caps w:val="0"/>
          <w:color w:val="333333"/>
          <w:spacing w:val="0"/>
          <w:kern w:val="0"/>
          <w:sz w:val="24"/>
          <w:szCs w:val="24"/>
          <w:lang w:val="en-US" w:eastAsia="zh-CN" w:bidi="ar"/>
        </w:rPr>
        <w:t>，</w:t>
      </w:r>
      <w:r>
        <w:rPr>
          <w:rFonts w:hint="eastAsia" w:ascii="宋体" w:hAnsi="宋体" w:eastAsia="宋体" w:cs="宋体"/>
          <w:i w:val="0"/>
          <w:iCs w:val="0"/>
          <w:caps w:val="0"/>
          <w:color w:val="333333"/>
          <w:spacing w:val="0"/>
          <w:kern w:val="0"/>
          <w:sz w:val="24"/>
          <w:szCs w:val="24"/>
          <w:lang w:val="en-US" w:eastAsia="zh-CN" w:bidi="ar"/>
        </w:rPr>
        <w:t>具有健全的组织机构和完善的财务会计制度。</w:t>
      </w:r>
    </w:p>
    <w:p>
      <w:pPr>
        <w:pStyle w:val="3"/>
        <w:keepNext w:val="0"/>
        <w:keepLines w:val="0"/>
        <w:widowControl/>
        <w:suppressLineNumbers w:val="0"/>
        <w:spacing w:before="50" w:beforeAutospacing="0" w:after="50" w:afterAutospacing="0"/>
        <w:ind w:left="0"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kern w:val="0"/>
          <w:sz w:val="24"/>
          <w:szCs w:val="24"/>
          <w:lang w:val="en-US" w:eastAsia="zh-CN" w:bidi="ar"/>
        </w:rPr>
        <w:t>（二）具有完成项目必要的人才条件、基本技术装备与设施和保障能力。</w:t>
      </w:r>
    </w:p>
    <w:p>
      <w:pPr>
        <w:pStyle w:val="3"/>
        <w:keepNext w:val="0"/>
        <w:keepLines w:val="0"/>
        <w:widowControl/>
        <w:suppressLineNumbers w:val="0"/>
        <w:spacing w:before="50" w:beforeAutospacing="0" w:after="50" w:afterAutospacing="0"/>
        <w:ind w:left="0"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kern w:val="0"/>
          <w:sz w:val="24"/>
          <w:szCs w:val="24"/>
          <w:lang w:val="en-US" w:eastAsia="zh-CN" w:bidi="ar"/>
        </w:rPr>
        <w:t>（三）具有良好的商业信誉和科研诚信状况，在申请项目时未列入科研诚信异常名录。</w:t>
      </w:r>
    </w:p>
    <w:p>
      <w:pPr>
        <w:pStyle w:val="3"/>
        <w:keepNext w:val="0"/>
        <w:keepLines w:val="0"/>
        <w:widowControl/>
        <w:suppressLineNumbers w:val="0"/>
        <w:spacing w:before="50" w:beforeAutospacing="0" w:after="50" w:afterAutospacing="0"/>
        <w:ind w:left="0"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kern w:val="0"/>
          <w:sz w:val="24"/>
          <w:szCs w:val="24"/>
          <w:lang w:val="en-US" w:eastAsia="zh-CN" w:bidi="ar"/>
        </w:rPr>
        <w:t>（四）项目负责人在项目结束时年龄原则上不超过60周岁。项目负责人为拥有教授级以上专业技术职称的行业领军人物，年龄要求可适当放宽。由企业牵头申报的项目，项目结束时负责人年龄原则上不超过65周岁。</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第十二条  </w:t>
      </w:r>
      <w:r>
        <w:rPr>
          <w:rFonts w:hint="eastAsia" w:ascii="宋体" w:hAnsi="宋体" w:eastAsia="宋体" w:cs="宋体"/>
          <w:i w:val="0"/>
          <w:iCs w:val="0"/>
          <w:caps w:val="0"/>
          <w:color w:val="333333"/>
          <w:spacing w:val="0"/>
          <w:kern w:val="0"/>
          <w:sz w:val="24"/>
          <w:szCs w:val="24"/>
          <w:lang w:val="en-US" w:eastAsia="zh-CN" w:bidi="ar"/>
        </w:rPr>
        <w:t>市科技计划项目实行归口推荐申报。项目推荐单位按照市科技计划项目申报要求，归口组织、推荐有关单位申报市科技计划项目，并负责对项目申报材料进行形式审查。</w:t>
      </w:r>
    </w:p>
    <w:p>
      <w:pPr>
        <w:pStyle w:val="3"/>
        <w:keepNext w:val="0"/>
        <w:keepLines w:val="0"/>
        <w:widowControl/>
        <w:suppressLineNumbers w:val="0"/>
        <w:spacing w:before="50" w:beforeAutospacing="0" w:after="50" w:afterAutospacing="0"/>
        <w:ind w:left="0"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kern w:val="0"/>
          <w:sz w:val="24"/>
          <w:szCs w:val="24"/>
          <w:lang w:val="en-US" w:eastAsia="zh-CN" w:bidi="ar"/>
        </w:rPr>
        <w:t>项目推荐单位包括县（市）区科技行政管理部门（包括高新区、自贸区福州片区及其他新设区划职能部门，以下相同）、市属高校和企事业单位、在榕高校和科研院所科技管理部门等。县级单位与企业按属地管理原则由县区科技行政管理部门推荐。推荐单位即为立项后的项目实施管理单位。</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第十三条  </w:t>
      </w:r>
      <w:r>
        <w:rPr>
          <w:rFonts w:hint="eastAsia" w:ascii="宋体" w:hAnsi="宋体" w:eastAsia="宋体" w:cs="宋体"/>
          <w:i w:val="0"/>
          <w:iCs w:val="0"/>
          <w:caps w:val="0"/>
          <w:color w:val="333333"/>
          <w:spacing w:val="0"/>
          <w:kern w:val="0"/>
          <w:sz w:val="24"/>
          <w:szCs w:val="24"/>
          <w:lang w:val="en-US" w:eastAsia="zh-CN" w:bidi="ar"/>
        </w:rPr>
        <w:t>项目申报实行信息化管理，精简申报要求、报表及流程等。按照年度申报指南的要求，项目申报单位一般通过福州市科技计划项目管理系统提交申请，软科学课题申请条件和方式以市科技局通知为准。项目申报单位和项目组成员应事前登陆项目管理信息系统进行注册，通过审核后才能进行项目填报。须提交书面材料的，按照 “最多跑一趟”的服务承诺，由市行政服务中心社会事务类窗口统一收件。</w:t>
      </w:r>
    </w:p>
    <w:p>
      <w:pPr>
        <w:pStyle w:val="3"/>
        <w:keepNext w:val="0"/>
        <w:keepLines w:val="0"/>
        <w:widowControl/>
        <w:suppressLineNumbers w:val="0"/>
        <w:spacing w:before="50" w:beforeAutospacing="0" w:after="50" w:afterAutospacing="0"/>
        <w:ind w:left="0"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kern w:val="0"/>
          <w:sz w:val="24"/>
          <w:szCs w:val="24"/>
          <w:lang w:val="en-US" w:eastAsia="zh-CN" w:bidi="ar"/>
        </w:rPr>
        <w:t>项目推荐单位负责进行形式审查、推荐。</w:t>
      </w:r>
    </w:p>
    <w:p>
      <w:pPr>
        <w:pStyle w:val="3"/>
        <w:keepNext w:val="0"/>
        <w:keepLines w:val="0"/>
        <w:widowControl/>
        <w:suppressLineNumbers w:val="0"/>
        <w:spacing w:before="50" w:beforeAutospacing="0" w:after="50" w:afterAutospacing="0"/>
        <w:ind w:left="0" w:right="0" w:firstLine="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第三章  遴选立项管理</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第十四条  </w:t>
      </w:r>
      <w:r>
        <w:rPr>
          <w:rFonts w:hint="eastAsia" w:ascii="宋体" w:hAnsi="宋体" w:eastAsia="宋体" w:cs="宋体"/>
          <w:i w:val="0"/>
          <w:iCs w:val="0"/>
          <w:caps w:val="0"/>
          <w:color w:val="333333"/>
          <w:spacing w:val="0"/>
          <w:kern w:val="0"/>
          <w:sz w:val="24"/>
          <w:szCs w:val="24"/>
          <w:lang w:val="en-US" w:eastAsia="zh-CN" w:bidi="ar"/>
        </w:rPr>
        <w:t>市科技计划项目立项管理包括项目形式审查、专业评审、审核审批、签订任务书等。</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第十五条  </w:t>
      </w:r>
      <w:r>
        <w:rPr>
          <w:rFonts w:hint="eastAsia" w:ascii="宋体" w:hAnsi="宋体" w:eastAsia="宋体" w:cs="宋体"/>
          <w:i w:val="0"/>
          <w:iCs w:val="0"/>
          <w:caps w:val="0"/>
          <w:color w:val="333333"/>
          <w:spacing w:val="0"/>
          <w:kern w:val="0"/>
          <w:sz w:val="24"/>
          <w:szCs w:val="24"/>
          <w:lang w:val="en-US" w:eastAsia="zh-CN" w:bidi="ar"/>
        </w:rPr>
        <w:t>市科技局或其委托的第三方专业服务机构对项目推荐单位上报的符合申报条件的科技项目组织开展专家技术、管理、财务评审与推荐。</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第十六条  </w:t>
      </w:r>
      <w:r>
        <w:rPr>
          <w:rFonts w:hint="eastAsia" w:ascii="宋体" w:hAnsi="宋体" w:eastAsia="宋体" w:cs="宋体"/>
          <w:i w:val="0"/>
          <w:iCs w:val="0"/>
          <w:caps w:val="0"/>
          <w:color w:val="333333"/>
          <w:spacing w:val="0"/>
          <w:kern w:val="0"/>
          <w:sz w:val="24"/>
          <w:szCs w:val="24"/>
          <w:lang w:val="en-US" w:eastAsia="zh-CN" w:bidi="ar"/>
        </w:rPr>
        <w:t>项目评审可采取会议、网络或视频等形式。评审过程与结果在项目管理信息系统保存记录，逐步建立评审结果、立项信息公开机制</w:t>
      </w:r>
      <w:r>
        <w:rPr>
          <w:rFonts w:hint="eastAsia" w:ascii="宋体" w:hAnsi="宋体" w:eastAsia="宋体" w:cs="宋体"/>
          <w:b/>
          <w:bCs/>
          <w:i w:val="0"/>
          <w:iCs w:val="0"/>
          <w:caps w:val="0"/>
          <w:color w:val="333333"/>
          <w:spacing w:val="0"/>
          <w:kern w:val="0"/>
          <w:sz w:val="24"/>
          <w:szCs w:val="24"/>
          <w:lang w:val="en-US" w:eastAsia="zh-CN" w:bidi="ar"/>
        </w:rPr>
        <w:t>，</w:t>
      </w:r>
      <w:r>
        <w:rPr>
          <w:rFonts w:hint="eastAsia" w:ascii="宋体" w:hAnsi="宋体" w:eastAsia="宋体" w:cs="宋体"/>
          <w:i w:val="0"/>
          <w:iCs w:val="0"/>
          <w:caps w:val="0"/>
          <w:color w:val="333333"/>
          <w:spacing w:val="0"/>
          <w:kern w:val="0"/>
          <w:sz w:val="24"/>
          <w:szCs w:val="24"/>
          <w:lang w:val="en-US" w:eastAsia="zh-CN" w:bidi="ar"/>
        </w:rPr>
        <w:t>实现“可申诉、可查询、可追溯”。</w:t>
      </w:r>
    </w:p>
    <w:p>
      <w:pPr>
        <w:pStyle w:val="3"/>
        <w:keepNext w:val="0"/>
        <w:keepLines w:val="0"/>
        <w:widowControl/>
        <w:suppressLineNumbers w:val="0"/>
        <w:spacing w:before="50" w:beforeAutospacing="0" w:after="50" w:afterAutospacing="0"/>
        <w:ind w:left="0"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kern w:val="0"/>
          <w:sz w:val="24"/>
          <w:szCs w:val="24"/>
          <w:lang w:val="en-US" w:eastAsia="zh-CN" w:bidi="ar"/>
        </w:rPr>
        <w:t>项目评审以同行技术、财务专家为主。在本市进行的会议评审，参评专家必须是项目管理信息系统专家库入库专家，并活跃在科研一线、熟悉专业技术，并视需求邀请省内外专家参与。与产业应用结合紧密的项目，在条件允许时应选取活跃在生产一线的专家参与评审。</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第十七条  </w:t>
      </w:r>
      <w:r>
        <w:rPr>
          <w:rFonts w:hint="eastAsia" w:ascii="宋体" w:hAnsi="宋体" w:eastAsia="宋体" w:cs="宋体"/>
          <w:i w:val="0"/>
          <w:iCs w:val="0"/>
          <w:caps w:val="0"/>
          <w:color w:val="333333"/>
          <w:spacing w:val="0"/>
          <w:kern w:val="0"/>
          <w:sz w:val="24"/>
          <w:szCs w:val="24"/>
          <w:lang w:val="en-US" w:eastAsia="zh-CN" w:bidi="ar"/>
        </w:rPr>
        <w:t>市科技局根据需要组织开展项目管理评审，管理评审可采取会议汇报、现场调研等方式进行。</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第十八条  </w:t>
      </w:r>
      <w:r>
        <w:rPr>
          <w:rFonts w:hint="eastAsia" w:ascii="宋体" w:hAnsi="宋体" w:eastAsia="宋体" w:cs="宋体"/>
          <w:i w:val="0"/>
          <w:iCs w:val="0"/>
          <w:caps w:val="0"/>
          <w:color w:val="333333"/>
          <w:spacing w:val="0"/>
          <w:kern w:val="0"/>
          <w:sz w:val="24"/>
          <w:szCs w:val="24"/>
          <w:lang w:val="en-US" w:eastAsia="zh-CN" w:bidi="ar"/>
        </w:rPr>
        <w:t>市科技局根据年度项目申报指南，综合评审结果提出立项意见，报市政府同意后会同市财政局下达年度立项计划和当年应拨科技经费。事前立项资助项目，项目实施管理单位应在项目任务书签订后转拨市级资助经费，事前立项事后补助项目的资助经费在项目通过验收后拨付。</w:t>
      </w:r>
    </w:p>
    <w:p>
      <w:pPr>
        <w:pStyle w:val="3"/>
        <w:keepNext w:val="0"/>
        <w:keepLines w:val="0"/>
        <w:widowControl/>
        <w:suppressLineNumbers w:val="0"/>
        <w:spacing w:before="50" w:beforeAutospacing="0" w:after="5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kern w:val="0"/>
          <w:sz w:val="24"/>
          <w:szCs w:val="24"/>
          <w:lang w:val="en-US" w:eastAsia="zh-CN" w:bidi="ar"/>
        </w:rPr>
        <w:t>对技术评审或管理评审分数不及格的项目，不予立项。</w:t>
      </w:r>
    </w:p>
    <w:p>
      <w:pPr>
        <w:pStyle w:val="3"/>
        <w:keepNext w:val="0"/>
        <w:keepLines w:val="0"/>
        <w:widowControl/>
        <w:suppressLineNumbers w:val="0"/>
        <w:spacing w:before="50" w:beforeAutospacing="0" w:after="50" w:afterAutospacing="0"/>
        <w:ind w:left="0" w:right="0" w:firstLine="723" w:firstLineChars="3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第十九条  </w:t>
      </w:r>
      <w:r>
        <w:rPr>
          <w:rFonts w:hint="eastAsia" w:ascii="宋体" w:hAnsi="宋体" w:eastAsia="宋体" w:cs="宋体"/>
          <w:i w:val="0"/>
          <w:iCs w:val="0"/>
          <w:caps w:val="0"/>
          <w:color w:val="333333"/>
          <w:spacing w:val="0"/>
          <w:kern w:val="0"/>
          <w:sz w:val="24"/>
          <w:szCs w:val="24"/>
          <w:lang w:val="en-US" w:eastAsia="zh-CN" w:bidi="ar"/>
        </w:rPr>
        <w:t>市科技局、项目承担单位、项目实施管理单位依据项目申请书、评审意见和下达的科技项目计划，商议签订项目任务书（文本格式由市科技局制订），确定项目各方的权利和义务。省级以上立项配套资助项目应参照立项机关确定的立项条件签订配套项目任务书，奖励性后补助项目不必签订科技计划项目任务书。</w:t>
      </w:r>
    </w:p>
    <w:p>
      <w:pPr>
        <w:pStyle w:val="3"/>
        <w:keepNext w:val="0"/>
        <w:keepLines w:val="0"/>
        <w:widowControl/>
        <w:suppressLineNumbers w:val="0"/>
        <w:spacing w:before="50" w:beforeAutospacing="0" w:after="50" w:afterAutospacing="0"/>
        <w:ind w:left="0"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kern w:val="0"/>
          <w:sz w:val="24"/>
          <w:szCs w:val="24"/>
          <w:lang w:val="en-US" w:eastAsia="zh-CN" w:bidi="ar"/>
        </w:rPr>
        <w:t>各类科技计划项目实施期限一般不超过二年，确实需要延长实施时间的，最长不得超过三年。</w:t>
      </w:r>
    </w:p>
    <w:p>
      <w:pPr>
        <w:pStyle w:val="3"/>
        <w:keepNext w:val="0"/>
        <w:keepLines w:val="0"/>
        <w:widowControl/>
        <w:suppressLineNumbers w:val="0"/>
        <w:spacing w:before="50" w:beforeAutospacing="0" w:after="50" w:afterAutospacing="0"/>
        <w:ind w:left="0" w:right="0" w:firstLine="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第四章  实施过程管理</w:t>
      </w:r>
    </w:p>
    <w:p>
      <w:pPr>
        <w:pStyle w:val="3"/>
        <w:keepNext w:val="0"/>
        <w:keepLines w:val="0"/>
        <w:widowControl/>
        <w:suppressLineNumbers w:val="0"/>
        <w:spacing w:before="50" w:beforeAutospacing="0" w:after="50" w:afterAutospacing="0"/>
        <w:ind w:left="0" w:right="0" w:firstLine="482"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 xml:space="preserve">第二十条  </w:t>
      </w:r>
      <w:r>
        <w:rPr>
          <w:rFonts w:hint="eastAsia" w:ascii="宋体" w:hAnsi="宋体" w:eastAsia="宋体" w:cs="宋体"/>
          <w:i w:val="0"/>
          <w:iCs w:val="0"/>
          <w:caps w:val="0"/>
          <w:color w:val="333333"/>
          <w:spacing w:val="0"/>
          <w:kern w:val="0"/>
          <w:sz w:val="24"/>
          <w:szCs w:val="24"/>
          <w:lang w:val="en-US" w:eastAsia="zh-CN" w:bidi="ar"/>
        </w:rPr>
        <w:t>市科技局责任部门、管理项目实施管理单位、项目承担单位和科研人员应认真履行项目实施过程管理的相应职责。管理单位与管理人员应按照规定，优化管理流程，规范管理方法，尽量减少对项目实施过程的干扰，提高管理绩效。</w:t>
      </w:r>
    </w:p>
    <w:p>
      <w:pPr>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nap ITC">
    <w:panose1 w:val="04040A07060A02020202"/>
    <w:charset w:val="00"/>
    <w:family w:val="auto"/>
    <w:pitch w:val="default"/>
    <w:sig w:usb0="00000003" w:usb1="00000000" w:usb2="00000000" w:usb3="00000000" w:csb0="20000001" w:csb1="00000000"/>
  </w:font>
  <w:font w:name="Segoe UI Semilight">
    <w:panose1 w:val="020B0402040204020203"/>
    <w:charset w:val="00"/>
    <w:family w:val="auto"/>
    <w:pitch w:val="default"/>
    <w:sig w:usb0="E4002EFF" w:usb1="C000E47F" w:usb2="00000009" w:usb3="00000000" w:csb0="200001FF" w:csb1="00000000"/>
  </w:font>
  <w:font w:name="Segoe UI Historic">
    <w:panose1 w:val="020B0502040204020203"/>
    <w:charset w:val="00"/>
    <w:family w:val="auto"/>
    <w:pitch w:val="default"/>
    <w:sig w:usb0="800001EF" w:usb1="02000002" w:usb2="0060C080" w:usb3="00000002" w:csb0="00000001" w:csb1="40000000"/>
  </w:font>
  <w:font w:name="Papyrus">
    <w:panose1 w:val="03070502060502030205"/>
    <w:charset w:val="00"/>
    <w:family w:val="auto"/>
    <w:pitch w:val="default"/>
    <w:sig w:usb0="00000003" w:usb1="00000000" w:usb2="00000000" w:usb3="00000000" w:csb0="20000001" w:csb1="00000000"/>
  </w:font>
  <w:font w:name="OCR A Std">
    <w:panose1 w:val="020F0609000104060307"/>
    <w:charset w:val="00"/>
    <w:family w:val="auto"/>
    <w:pitch w:val="default"/>
    <w:sig w:usb0="00000003" w:usb1="00000000" w:usb2="00000000" w:usb3="00000000" w:csb0="20000001" w:csb1="00000000"/>
  </w:font>
  <w:font w:name="OCR A Extended">
    <w:panose1 w:val="02010509020102010303"/>
    <w:charset w:val="00"/>
    <w:family w:val="auto"/>
    <w:pitch w:val="default"/>
    <w:sig w:usb0="00000003" w:usb1="00000000" w:usb2="00000000" w:usb3="00000000" w:csb0="20000001" w:csb1="00000000"/>
  </w:font>
  <w:font w:name="FrankRuehl">
    <w:panose1 w:val="020E0503060101010101"/>
    <w:charset w:val="00"/>
    <w:family w:val="auto"/>
    <w:pitch w:val="default"/>
    <w:sig w:usb0="00000801" w:usb1="00000000" w:usb2="00000000" w:usb3="00000000" w:csb0="00000020" w:csb1="00200000"/>
  </w:font>
  <w:font w:name="Arabic Typesetting">
    <w:panose1 w:val="03020402040406030203"/>
    <w:charset w:val="00"/>
    <w:family w:val="auto"/>
    <w:pitch w:val="default"/>
    <w:sig w:usb0="A000206F" w:usb1="C0000000" w:usb2="00000008" w:usb3="00000000" w:csb0="200000D3" w:csb1="00000000"/>
  </w:font>
  <w:font w:name="Agency FB">
    <w:panose1 w:val="020B0503020202020204"/>
    <w:charset w:val="00"/>
    <w:family w:val="auto"/>
    <w:pitch w:val="default"/>
    <w:sig w:usb0="00000003" w:usb1="00000000" w:usb2="00000000" w:usb3="00000000" w:csb0="20000001" w:csb1="00000000"/>
  </w:font>
  <w:font w:name="Yu Gothic Light">
    <w:panose1 w:val="020B0300000000000000"/>
    <w:charset w:val="80"/>
    <w:family w:val="auto"/>
    <w:pitch w:val="default"/>
    <w:sig w:usb0="E00002FF" w:usb1="2AC7FDFF" w:usb2="00000016" w:usb3="00000000" w:csb0="2002009F" w:csb1="00000000"/>
  </w:font>
  <w:font w:name="MiSans Semibold">
    <w:panose1 w:val="00000700000000000000"/>
    <w:charset w:val="86"/>
    <w:family w:val="auto"/>
    <w:pitch w:val="default"/>
    <w:sig w:usb0="80000287" w:usb1="080F1811" w:usb2="00000016" w:usb3="00000000" w:csb0="00040001" w:csb1="00000000"/>
  </w:font>
  <w:font w:name="MiSans Normal">
    <w:panose1 w:val="00000500000000000000"/>
    <w:charset w:val="86"/>
    <w:family w:val="auto"/>
    <w:pitch w:val="default"/>
    <w:sig w:usb0="80000287" w:usb1="080F1811" w:usb2="00000016" w:usb3="00000000" w:csb0="00040001" w:csb1="00000000"/>
  </w:font>
  <w:font w:name="MiSans ExtraLight">
    <w:panose1 w:val="00000300000000000000"/>
    <w:charset w:val="86"/>
    <w:family w:val="auto"/>
    <w:pitch w:val="default"/>
    <w:sig w:usb0="80000287" w:usb1="080F1811" w:usb2="00000016" w:usb3="00000000" w:csb0="00040001" w:csb1="00000000"/>
  </w:font>
  <w:font w:name="MasaFont">
    <w:panose1 w:val="02000600000000000000"/>
    <w:charset w:val="80"/>
    <w:family w:val="auto"/>
    <w:pitch w:val="default"/>
    <w:sig w:usb0="A00002BF" w:usb1="68C7FCFB" w:usb2="00000010" w:usb3="00000000" w:csb0="4002009F" w:csb1="DFD70000"/>
  </w:font>
  <w:font w:name="Kozuka Mincho Pro R">
    <w:panose1 w:val="02020400000000000000"/>
    <w:charset w:val="80"/>
    <w:family w:val="auto"/>
    <w:pitch w:val="default"/>
    <w:sig w:usb0="E00002FF" w:usb1="6AC7FCFF" w:usb2="00000012" w:usb3="00000000" w:csb0="00020005" w:csb1="00000000"/>
  </w:font>
  <w:font w:name="龙书瀚临禅书简">
    <w:panose1 w:val="02010604000000000000"/>
    <w:charset w:val="86"/>
    <w:family w:val="auto"/>
    <w:pitch w:val="default"/>
    <w:sig w:usb0="00000003" w:usb1="080E0000" w:usb2="00000000" w:usb3="00000000" w:csb0="00040001" w:csb1="00000000"/>
  </w:font>
  <w:font w:name="视觉坊免费素材shijuef.com(龚帆免费体)">
    <w:panose1 w:val="03000600000000000000"/>
    <w:charset w:val="86"/>
    <w:family w:val="auto"/>
    <w:pitch w:val="default"/>
    <w:sig w:usb0="00000001" w:usb1="08000000" w:usb2="00000000" w:usb3="00000000" w:csb0="00040001" w:csb1="00000000"/>
  </w:font>
  <w:font w:name="演示斜黑体">
    <w:panose1 w:val="00000A08000000000000"/>
    <w:charset w:val="86"/>
    <w:family w:val="auto"/>
    <w:pitch w:val="default"/>
    <w:sig w:usb0="00000001"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圆樱花体">
    <w:panose1 w:val="02000609000000000000"/>
    <w:charset w:val="80"/>
    <w:family w:val="auto"/>
    <w:pitch w:val="default"/>
    <w:sig w:usb0="A00002BF" w:usb1="68C7FCFB" w:usb2="00000010" w:usb3="00000000" w:csb0="4002009F" w:csb1="DFD70000"/>
  </w:font>
  <w:font w:name="微米有行">
    <w:panose1 w:val="00000000000000000000"/>
    <w:charset w:val="80"/>
    <w:family w:val="auto"/>
    <w:pitch w:val="default"/>
    <w:sig w:usb0="00000283" w:usb1="080F0C10" w:usb2="00000012" w:usb3="00000000" w:csb0="00020001" w:csb1="00000000"/>
  </w:font>
  <w:font w:name="大波浪圓體 CJK TC-Regular">
    <w:panose1 w:val="00000000000000000000"/>
    <w:charset w:val="88"/>
    <w:family w:val="auto"/>
    <w:pitch w:val="default"/>
    <w:sig w:usb0="800002A7" w:usb1="28C760FB" w:usb2="00000012" w:usb3="00000000" w:csb0="40120005"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78987759"/>
    <w:rsid w:val="78987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2023-03-19T08:59:00Z</dcterms:created>
  <dc:creator>浅若夏沫‘’</dc:creator>
  <cp:lastModifiedBy>浅若夏沫‘’</cp:lastModifiedBy>
  <dcterms:modified xsi:type="dcterms:W3CDTF">2023-03-20T01:52:02Z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C80BCA38B04F480EA9E8532311C80B92</vt:lpwstr>
  </property>
</Properties>
</file>