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20" w:lineRule="auto"/>
        <w:ind w:left="0" w:right="0"/>
        <w:jc w:val="center"/>
        <w:textAlignment w:val="auto"/>
        <w:rPr>
          <w:rFonts w:hint="eastAsia" w:ascii="黑体" w:hAnsi="黑体" w:eastAsia="黑体" w:cs="黑体"/>
          <w:b/>
          <w:bCs/>
          <w:sz w:val="32"/>
          <w:szCs w:val="32"/>
        </w:rPr>
      </w:pPr>
      <w:bookmarkStart w:id="0" w:name="_GoBack"/>
      <w:r>
        <w:rPr>
          <w:rFonts w:hint="eastAsia" w:ascii="黑体" w:hAnsi="黑体" w:eastAsia="黑体" w:cs="黑体"/>
          <w:b/>
          <w:bCs/>
          <w:kern w:val="0"/>
          <w:sz w:val="32"/>
          <w:szCs w:val="32"/>
          <w:lang w:val="en-US" w:eastAsia="zh-CN" w:bidi="ar"/>
        </w:rPr>
        <w:t>人文社会科学类申报指南</w:t>
      </w:r>
    </w:p>
    <w:bookmarkEnd w:id="0"/>
    <w:p>
      <w:pPr>
        <w:keepNext w:val="0"/>
        <w:keepLines w:val="0"/>
        <w:pageBreakBefore w:val="0"/>
        <w:widowControl/>
        <w:suppressLineNumbers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一、申报内容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二、申报学科范围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本次项目申报的学科范围包括：（1）马克思主义/思想政治教育；（2）哲学；（3）逻辑学；（4）语言学；（5）中国文学；（6）外国文学；（7）艺术学；（8）历史学；（9）经济学；（10）管理学；（11）政治学；（12）法学；（13）社会学；（14）民族学与文化学；（15）新闻学与传播学；（16）图书馆、情报与文献学；（17）教育学；（18）心理学；（19）体育学；（20）统计学；（21）港澳台问题研究；（22）国际问题研究；（23）交叉学科/综合研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高校辅导员专项和思政专项课题名称请参考教育部社科司关于 2021 年度教育部人文社会科学研究高校辅导员专项和思政专项课题指南。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0AF2151"/>
    <w:rsid w:val="00057EBF"/>
    <w:rsid w:val="10AF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2023-03-15T02:35:00Z</dcterms:created>
  <dc:creator>浅若夏沫‘’</dc:creator>
  <cp:lastModifiedBy>浅若夏沫‘’</cp:lastModifiedBy>
  <dcterms:modified xsi:type="dcterms:W3CDTF">2023-03-19T07:37:13Z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C39F1ED844404EAEBB48908803C0F794</vt:lpwstr>
  </property>
</Properties>
</file>